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line="208" w:lineRule="auto" w:before="97"/>
        <w:ind w:left="3442" w:right="2900" w:hanging="540"/>
      </w:pPr>
      <w:r>
        <w:rPr/>
        <w:t>KANSAS</w:t>
      </w:r>
      <w:r>
        <w:rPr>
          <w:spacing w:val="-15"/>
        </w:rPr>
        <w:t> </w:t>
      </w:r>
      <w:r>
        <w:rPr/>
        <w:t>CANCELLATION/NONRENEWAL AMENDATORY ENDORSEMENT</w:t>
      </w:r>
    </w:p>
    <w:p>
      <w:pPr>
        <w:pStyle w:val="BodyText"/>
        <w:spacing w:before="174"/>
      </w:pPr>
    </w:p>
    <w:p>
      <w:pPr>
        <w:pStyle w:val="BodyText"/>
        <w:tabs>
          <w:tab w:pos="2345" w:val="left" w:leader="none"/>
          <w:tab w:pos="4291" w:val="left" w:leader="none"/>
        </w:tabs>
        <w:spacing w:line="417" w:lineRule="auto"/>
        <w:ind w:left="360" w:right="4892"/>
      </w:pPr>
      <w:r>
        <w:rPr/>
        <w:t>This endorsement, effective</w:t>
        <w:tab/>
        <w:t>forms</w:t>
      </w:r>
      <w:r>
        <w:rPr>
          <w:spacing w:val="-15"/>
        </w:rPr>
        <w:t> </w:t>
      </w:r>
      <w:r>
        <w:rPr/>
        <w:t>part</w:t>
      </w:r>
      <w:r>
        <w:rPr>
          <w:spacing w:val="-15"/>
        </w:rPr>
        <w:t> </w:t>
      </w:r>
      <w:r>
        <w:rPr/>
        <w:t>of policy no.:</w:t>
        <w:tab/>
        <w:t>issued to</w:t>
      </w:r>
    </w:p>
    <w:p>
      <w:pPr>
        <w:pStyle w:val="BodyText"/>
        <w:spacing w:line="276" w:lineRule="exact"/>
        <w:ind w:left="360"/>
      </w:pPr>
      <w:r>
        <w:rPr>
          <w:spacing w:val="-5"/>
        </w:rPr>
        <w:t>by:</w:t>
      </w:r>
    </w:p>
    <w:p>
      <w:pPr>
        <w:pStyle w:val="BodyText"/>
        <w:spacing w:line="208" w:lineRule="auto" w:before="234"/>
        <w:ind w:left="360" w:right="356"/>
        <w:jc w:val="both"/>
      </w:pPr>
      <w:r>
        <w:rPr/>
        <w:t>Wherever used in this endorsement: 1) "we", "us", "our", and "Insurer" mean the insurance company which issued this policy;</w:t>
      </w:r>
      <w:r>
        <w:rPr>
          <w:spacing w:val="40"/>
        </w:rPr>
        <w:t> </w:t>
      </w:r>
      <w:r>
        <w:rPr/>
        <w:t>and 2) "you", "your", "named Insured", "First Named Insured", and "Insured" mean the Named Corporation, Named Organization, Named Sponsor, Named Insured, or Insured stated in the declarations page; and 3) "Other Insured(s)" means all other persons or entities afforded coverage under the policy.</w:t>
      </w:r>
    </w:p>
    <w:p>
      <w:pPr>
        <w:pStyle w:val="BodyText"/>
        <w:spacing w:line="187" w:lineRule="auto" w:before="216"/>
        <w:ind w:left="359" w:right="358"/>
        <w:jc w:val="both"/>
      </w:pPr>
      <w:r>
        <w:rPr/>
        <w:t>In consideration of the premium charged, the cancellation provision of this policy is amended as </w:t>
      </w:r>
      <w:r>
        <w:rPr>
          <w:spacing w:val="-2"/>
        </w:rPr>
        <w:t>follows:</w:t>
      </w:r>
    </w:p>
    <w:p>
      <w:pPr>
        <w:pStyle w:val="BodyText"/>
        <w:spacing w:before="108"/>
      </w:pPr>
    </w:p>
    <w:p>
      <w:pPr>
        <w:pStyle w:val="Heading1"/>
      </w:pPr>
      <w:r>
        <w:rPr>
          <w:spacing w:val="-2"/>
        </w:rPr>
        <w:t>CANCELLATION</w:t>
      </w:r>
    </w:p>
    <w:p>
      <w:pPr>
        <w:pStyle w:val="BodyText"/>
        <w:spacing w:line="187" w:lineRule="auto" w:before="206"/>
        <w:ind w:left="359" w:right="347"/>
      </w:pPr>
      <w:r>
        <w:rPr/>
        <w:t>If</w:t>
      </w:r>
      <w:r>
        <w:rPr>
          <w:spacing w:val="-3"/>
        </w:rPr>
        <w:t> </w:t>
      </w:r>
      <w:r>
        <w:rPr/>
        <w:t>a</w:t>
      </w:r>
      <w:r>
        <w:rPr>
          <w:spacing w:val="-3"/>
        </w:rPr>
        <w:t> </w:t>
      </w:r>
      <w:r>
        <w:rPr/>
        <w:t>policy</w:t>
      </w:r>
      <w:r>
        <w:rPr>
          <w:spacing w:val="-3"/>
        </w:rPr>
        <w:t> </w:t>
      </w:r>
      <w:r>
        <w:rPr/>
        <w:t>has</w:t>
      </w:r>
      <w:r>
        <w:rPr>
          <w:spacing w:val="-3"/>
        </w:rPr>
        <w:t> </w:t>
      </w:r>
      <w:r>
        <w:rPr/>
        <w:t>been</w:t>
      </w:r>
      <w:r>
        <w:rPr>
          <w:spacing w:val="-3"/>
        </w:rPr>
        <w:t> </w:t>
      </w:r>
      <w:r>
        <w:rPr/>
        <w:t>in</w:t>
      </w:r>
      <w:r>
        <w:rPr>
          <w:spacing w:val="-3"/>
        </w:rPr>
        <w:t> </w:t>
      </w:r>
      <w:r>
        <w:rPr/>
        <w:t>effect</w:t>
      </w:r>
      <w:r>
        <w:rPr>
          <w:spacing w:val="-3"/>
        </w:rPr>
        <w:t> </w:t>
      </w:r>
      <w:r>
        <w:rPr/>
        <w:t>for</w:t>
      </w:r>
      <w:r>
        <w:rPr>
          <w:spacing w:val="-3"/>
        </w:rPr>
        <w:t> </w:t>
      </w:r>
      <w:r>
        <w:rPr/>
        <w:t>ninety</w:t>
      </w:r>
      <w:r>
        <w:rPr>
          <w:spacing w:val="-3"/>
        </w:rPr>
        <w:t> </w:t>
      </w:r>
      <w:r>
        <w:rPr/>
        <w:t>(90)</w:t>
      </w:r>
      <w:r>
        <w:rPr>
          <w:spacing w:val="-3"/>
        </w:rPr>
        <w:t> </w:t>
      </w:r>
      <w:r>
        <w:rPr/>
        <w:t>days</w:t>
      </w:r>
      <w:r>
        <w:rPr>
          <w:spacing w:val="-2"/>
        </w:rPr>
        <w:t> </w:t>
      </w:r>
      <w:r>
        <w:rPr/>
        <w:t>or</w:t>
      </w:r>
      <w:r>
        <w:rPr>
          <w:spacing w:val="-2"/>
        </w:rPr>
        <w:t> </w:t>
      </w:r>
      <w:r>
        <w:rPr/>
        <w:t>more,</w:t>
      </w:r>
      <w:r>
        <w:rPr>
          <w:spacing w:val="-2"/>
        </w:rPr>
        <w:t> </w:t>
      </w:r>
      <w:r>
        <w:rPr/>
        <w:t>or</w:t>
      </w:r>
      <w:r>
        <w:rPr>
          <w:spacing w:val="-2"/>
        </w:rPr>
        <w:t> </w:t>
      </w:r>
      <w:r>
        <w:rPr/>
        <w:t>if</w:t>
      </w:r>
      <w:r>
        <w:rPr>
          <w:spacing w:val="-2"/>
        </w:rPr>
        <w:t> </w:t>
      </w:r>
      <w:r>
        <w:rPr/>
        <w:t>it</w:t>
      </w:r>
      <w:r>
        <w:rPr>
          <w:spacing w:val="-2"/>
        </w:rPr>
        <w:t> </w:t>
      </w:r>
      <w:r>
        <w:rPr/>
        <w:t>is</w:t>
      </w:r>
      <w:r>
        <w:rPr>
          <w:spacing w:val="-2"/>
        </w:rPr>
        <w:t> </w:t>
      </w:r>
      <w:r>
        <w:rPr/>
        <w:t>a</w:t>
      </w:r>
      <w:r>
        <w:rPr>
          <w:spacing w:val="-2"/>
        </w:rPr>
        <w:t> </w:t>
      </w:r>
      <w:r>
        <w:rPr/>
        <w:t>renewal</w:t>
      </w:r>
      <w:r>
        <w:rPr>
          <w:spacing w:val="-2"/>
        </w:rPr>
        <w:t> </w:t>
      </w:r>
      <w:r>
        <w:rPr/>
        <w:t>of</w:t>
      </w:r>
      <w:r>
        <w:rPr>
          <w:spacing w:val="-2"/>
        </w:rPr>
        <w:t> </w:t>
      </w:r>
      <w:r>
        <w:rPr/>
        <w:t>a</w:t>
      </w:r>
      <w:r>
        <w:rPr>
          <w:spacing w:val="-2"/>
        </w:rPr>
        <w:t> </w:t>
      </w:r>
      <w:r>
        <w:rPr/>
        <w:t>policy</w:t>
      </w:r>
      <w:r>
        <w:rPr>
          <w:spacing w:val="-2"/>
        </w:rPr>
        <w:t> </w:t>
      </w:r>
      <w:r>
        <w:rPr/>
        <w:t>we</w:t>
      </w:r>
      <w:r>
        <w:rPr>
          <w:spacing w:val="-2"/>
        </w:rPr>
        <w:t> </w:t>
      </w:r>
      <w:r>
        <w:rPr/>
        <w:t>issued the Insurer may cancel this policy only if one or more of the following reasons apply:</w:t>
      </w:r>
    </w:p>
    <w:p>
      <w:pPr>
        <w:pStyle w:val="ListParagraph"/>
        <w:numPr>
          <w:ilvl w:val="0"/>
          <w:numId w:val="1"/>
        </w:numPr>
        <w:tabs>
          <w:tab w:pos="1799" w:val="left" w:leader="none"/>
        </w:tabs>
        <w:spacing w:line="240" w:lineRule="auto" w:before="168" w:after="0"/>
        <w:ind w:left="1799" w:right="0" w:hanging="720"/>
        <w:jc w:val="left"/>
        <w:rPr>
          <w:sz w:val="24"/>
        </w:rPr>
      </w:pPr>
      <w:r>
        <w:rPr>
          <w:sz w:val="24"/>
        </w:rPr>
        <w:t>nonpayment of</w:t>
      </w:r>
      <w:r>
        <w:rPr>
          <w:spacing w:val="-1"/>
          <w:sz w:val="24"/>
        </w:rPr>
        <w:t> </w:t>
      </w:r>
      <w:r>
        <w:rPr>
          <w:spacing w:val="-2"/>
          <w:sz w:val="24"/>
        </w:rPr>
        <w:t>premium;</w:t>
      </w:r>
    </w:p>
    <w:p>
      <w:pPr>
        <w:pStyle w:val="ListParagraph"/>
        <w:numPr>
          <w:ilvl w:val="0"/>
          <w:numId w:val="1"/>
        </w:numPr>
        <w:tabs>
          <w:tab w:pos="1799" w:val="left" w:leader="none"/>
        </w:tabs>
        <w:spacing w:line="240" w:lineRule="auto" w:before="156" w:after="0"/>
        <w:ind w:left="1799" w:right="0" w:hanging="720"/>
        <w:jc w:val="left"/>
        <w:rPr>
          <w:sz w:val="24"/>
        </w:rPr>
      </w:pPr>
      <w:r>
        <w:rPr>
          <w:sz w:val="24"/>
        </w:rPr>
        <w:t>the policy was issued because of a material </w:t>
      </w:r>
      <w:r>
        <w:rPr>
          <w:spacing w:val="-2"/>
          <w:sz w:val="24"/>
        </w:rPr>
        <w:t>misrepresentation;</w:t>
      </w:r>
    </w:p>
    <w:p>
      <w:pPr>
        <w:pStyle w:val="ListParagraph"/>
        <w:numPr>
          <w:ilvl w:val="0"/>
          <w:numId w:val="1"/>
        </w:numPr>
        <w:tabs>
          <w:tab w:pos="1799" w:val="left" w:leader="none"/>
        </w:tabs>
        <w:spacing w:line="187" w:lineRule="auto" w:before="205" w:after="0"/>
        <w:ind w:left="1799" w:right="1077" w:hanging="720"/>
        <w:jc w:val="both"/>
        <w:rPr>
          <w:sz w:val="24"/>
        </w:rPr>
      </w:pPr>
      <w:r>
        <w:rPr>
          <w:sz w:val="24"/>
        </w:rPr>
        <w:t>the Insured or Other Insured(s) violated any of the material terms and conditions of the policy;</w:t>
      </w:r>
    </w:p>
    <w:p>
      <w:pPr>
        <w:pStyle w:val="ListParagraph"/>
        <w:numPr>
          <w:ilvl w:val="0"/>
          <w:numId w:val="1"/>
        </w:numPr>
        <w:tabs>
          <w:tab w:pos="1799" w:val="left" w:leader="none"/>
        </w:tabs>
        <w:spacing w:line="187" w:lineRule="auto" w:before="218" w:after="0"/>
        <w:ind w:left="1799" w:right="1078" w:hanging="720"/>
        <w:jc w:val="both"/>
        <w:rPr>
          <w:sz w:val="24"/>
        </w:rPr>
      </w:pPr>
      <w:r>
        <w:rPr>
          <w:sz w:val="24"/>
        </w:rPr>
        <w:t>unfavorable underwriting factors, specific to the Insured or Other </w:t>
      </w:r>
      <w:r>
        <w:rPr>
          <w:sz w:val="24"/>
        </w:rPr>
        <w:t>Insured(s), exist that were not present at the inception of the policy;</w:t>
      </w:r>
    </w:p>
    <w:p>
      <w:pPr>
        <w:pStyle w:val="ListParagraph"/>
        <w:numPr>
          <w:ilvl w:val="0"/>
          <w:numId w:val="1"/>
        </w:numPr>
        <w:tabs>
          <w:tab w:pos="1799" w:val="left" w:leader="none"/>
        </w:tabs>
        <w:spacing w:line="187" w:lineRule="auto" w:before="217" w:after="0"/>
        <w:ind w:left="1799" w:right="1077" w:hanging="720"/>
        <w:jc w:val="both"/>
        <w:rPr>
          <w:sz w:val="24"/>
        </w:rPr>
      </w:pPr>
      <w:r>
        <w:rPr>
          <w:sz w:val="24"/>
        </w:rPr>
        <w:t>a determination by the commissioner that continuation of coverage could</w:t>
      </w:r>
      <w:r>
        <w:rPr>
          <w:spacing w:val="40"/>
          <w:sz w:val="24"/>
        </w:rPr>
        <w:t> </w:t>
      </w:r>
      <w:r>
        <w:rPr>
          <w:sz w:val="24"/>
        </w:rPr>
        <w:t>place the Insurer in a hazardous financial condition or in violation of the laws of this state; or</w:t>
      </w:r>
    </w:p>
    <w:p>
      <w:pPr>
        <w:pStyle w:val="ListParagraph"/>
        <w:numPr>
          <w:ilvl w:val="0"/>
          <w:numId w:val="1"/>
        </w:numPr>
        <w:tabs>
          <w:tab w:pos="1797" w:val="left" w:leader="none"/>
          <w:tab w:pos="1799" w:val="left" w:leader="none"/>
        </w:tabs>
        <w:spacing w:line="187" w:lineRule="auto" w:before="218" w:after="0"/>
        <w:ind w:left="1799" w:right="1077" w:hanging="720"/>
        <w:jc w:val="both"/>
        <w:rPr>
          <w:sz w:val="24"/>
        </w:rPr>
      </w:pPr>
      <w:r>
        <w:rPr>
          <w:sz w:val="24"/>
        </w:rPr>
        <w:t>a determination by the commissioner that the Insurer no longer has adequate reinsurance to meet the Insurer's needs.</w:t>
      </w:r>
    </w:p>
    <w:p>
      <w:pPr>
        <w:pStyle w:val="BodyText"/>
        <w:spacing w:line="187" w:lineRule="auto" w:before="218"/>
        <w:ind w:left="359"/>
      </w:pPr>
      <w:r>
        <w:rPr/>
        <w:t>The</w:t>
      </w:r>
      <w:r>
        <w:rPr>
          <w:spacing w:val="67"/>
        </w:rPr>
        <w:t> </w:t>
      </w:r>
      <w:r>
        <w:rPr/>
        <w:t>Insured</w:t>
      </w:r>
      <w:r>
        <w:rPr>
          <w:spacing w:val="67"/>
        </w:rPr>
        <w:t> </w:t>
      </w:r>
      <w:r>
        <w:rPr/>
        <w:t>will</w:t>
      </w:r>
      <w:r>
        <w:rPr>
          <w:spacing w:val="67"/>
        </w:rPr>
        <w:t> </w:t>
      </w:r>
      <w:r>
        <w:rPr/>
        <w:t>be</w:t>
      </w:r>
      <w:r>
        <w:rPr>
          <w:spacing w:val="67"/>
        </w:rPr>
        <w:t> </w:t>
      </w:r>
      <w:r>
        <w:rPr/>
        <w:t>notified</w:t>
      </w:r>
      <w:r>
        <w:rPr>
          <w:spacing w:val="67"/>
        </w:rPr>
        <w:t> </w:t>
      </w:r>
      <w:r>
        <w:rPr/>
        <w:t>in</w:t>
      </w:r>
      <w:r>
        <w:rPr>
          <w:spacing w:val="67"/>
        </w:rPr>
        <w:t> </w:t>
      </w:r>
      <w:r>
        <w:rPr/>
        <w:t>writing</w:t>
      </w:r>
      <w:r>
        <w:rPr>
          <w:spacing w:val="67"/>
        </w:rPr>
        <w:t> </w:t>
      </w:r>
      <w:r>
        <w:rPr/>
        <w:t>at</w:t>
      </w:r>
      <w:r>
        <w:rPr>
          <w:spacing w:val="67"/>
        </w:rPr>
        <w:t> </w:t>
      </w:r>
      <w:r>
        <w:rPr/>
        <w:t>least</w:t>
      </w:r>
      <w:r>
        <w:rPr>
          <w:spacing w:val="67"/>
        </w:rPr>
        <w:t> </w:t>
      </w:r>
      <w:r>
        <w:rPr/>
        <w:t>thirty</w:t>
      </w:r>
      <w:r>
        <w:rPr>
          <w:spacing w:val="67"/>
        </w:rPr>
        <w:t> </w:t>
      </w:r>
      <w:r>
        <w:rPr/>
        <w:t>(30)</w:t>
      </w:r>
      <w:r>
        <w:rPr>
          <w:spacing w:val="67"/>
        </w:rPr>
        <w:t> </w:t>
      </w:r>
      <w:r>
        <w:rPr/>
        <w:t>days</w:t>
      </w:r>
      <w:r>
        <w:rPr>
          <w:spacing w:val="67"/>
        </w:rPr>
        <w:t> </w:t>
      </w:r>
      <w:r>
        <w:rPr/>
        <w:t>before</w:t>
      </w:r>
      <w:r>
        <w:rPr>
          <w:spacing w:val="67"/>
        </w:rPr>
        <w:t> </w:t>
      </w:r>
      <w:r>
        <w:rPr/>
        <w:t>the</w:t>
      </w:r>
      <w:r>
        <w:rPr>
          <w:spacing w:val="67"/>
        </w:rPr>
        <w:t> </w:t>
      </w:r>
      <w:r>
        <w:rPr/>
        <w:t>effective</w:t>
      </w:r>
      <w:r>
        <w:rPr>
          <w:spacing w:val="67"/>
        </w:rPr>
        <w:t> </w:t>
      </w:r>
      <w:r>
        <w:rPr/>
        <w:t>date</w:t>
      </w:r>
      <w:r>
        <w:rPr>
          <w:spacing w:val="67"/>
        </w:rPr>
        <w:t> </w:t>
      </w:r>
      <w:r>
        <w:rPr/>
        <w:t>of </w:t>
      </w:r>
      <w:r>
        <w:rPr>
          <w:spacing w:val="-2"/>
        </w:rPr>
        <w:t>cancellation.</w:t>
      </w:r>
    </w:p>
    <w:p>
      <w:pPr>
        <w:pStyle w:val="BodyText"/>
        <w:spacing w:before="108"/>
      </w:pPr>
    </w:p>
    <w:p>
      <w:pPr>
        <w:pStyle w:val="Heading1"/>
      </w:pPr>
      <w:r>
        <w:rPr/>
        <w:t>UNEARNED</w:t>
      </w:r>
      <w:r>
        <w:rPr>
          <w:spacing w:val="-6"/>
        </w:rPr>
        <w:t> </w:t>
      </w:r>
      <w:r>
        <w:rPr>
          <w:spacing w:val="-2"/>
        </w:rPr>
        <w:t>PREMIUM</w:t>
      </w:r>
    </w:p>
    <w:p>
      <w:pPr>
        <w:pStyle w:val="BodyText"/>
        <w:spacing w:line="187" w:lineRule="auto" w:before="205"/>
        <w:ind w:left="359" w:right="356"/>
        <w:jc w:val="both"/>
      </w:pPr>
      <w:r>
        <w:rPr/>
        <w:t>Upon termination of insurance coverage, the Insurer shall refund the policyholder the difference between the payment and the earned premium.</w:t>
      </w:r>
      <w:r>
        <w:rPr>
          <w:spacing w:val="40"/>
        </w:rPr>
        <w:t> </w:t>
      </w:r>
      <w:r>
        <w:rPr/>
        <w:t>Such refund may accompany the notice of cancellation, or such refund may be separately returned in not more than 10 days from the date of such notice.</w:t>
      </w:r>
      <w:r>
        <w:rPr>
          <w:spacing w:val="40"/>
        </w:rPr>
        <w:t> </w:t>
      </w:r>
      <w:r>
        <w:rPr/>
        <w:t>The notice shall contain language indicating that any refund due will be returned in not more than 10 days from the date of such notice.</w:t>
      </w:r>
    </w:p>
    <w:p>
      <w:pPr>
        <w:pStyle w:val="BodyText"/>
        <w:spacing w:after="0" w:line="187" w:lineRule="auto"/>
        <w:jc w:val="both"/>
        <w:sectPr>
          <w:footerReference w:type="default" r:id="rId5"/>
          <w:type w:val="continuous"/>
          <w:pgSz w:w="12240" w:h="15840"/>
          <w:pgMar w:header="0" w:footer="1217" w:top="980" w:bottom="1400" w:left="720" w:right="1080"/>
          <w:pgNumType w:start="1"/>
        </w:sectPr>
      </w:pPr>
    </w:p>
    <w:p>
      <w:pPr>
        <w:pStyle w:val="Heading1"/>
        <w:spacing w:before="68"/>
        <w:ind w:left="360"/>
      </w:pPr>
      <w:r>
        <w:rPr>
          <w:spacing w:val="-2"/>
        </w:rPr>
        <w:t>NONRENEWAL</w:t>
      </w:r>
    </w:p>
    <w:p>
      <w:pPr>
        <w:pStyle w:val="BodyText"/>
        <w:spacing w:line="187" w:lineRule="auto" w:before="206"/>
        <w:ind w:left="360" w:right="347"/>
      </w:pPr>
      <w:r>
        <w:rPr/>
        <w:t>If the Insurer decides not to renew this policy, the Insurer or the Insurer's licensed agent will give at least sixty (60) days written notice to the First Named Insured at the last known address.</w:t>
      </w:r>
    </w:p>
    <w:p>
      <w:pPr>
        <w:pStyle w:val="BodyText"/>
        <w:spacing w:line="187" w:lineRule="auto" w:before="217"/>
        <w:ind w:left="360"/>
      </w:pPr>
      <w:r>
        <w:rPr/>
        <w:t>All notices of cancellation or nonrenewal will contain a written</w:t>
      </w:r>
      <w:r>
        <w:rPr>
          <w:spacing w:val="-1"/>
        </w:rPr>
        <w:t> </w:t>
      </w:r>
      <w:r>
        <w:rPr/>
        <w:t>explanation specifically detailing the reasons for cancellation or nonrenewal.</w:t>
      </w:r>
    </w:p>
    <w:p>
      <w:pPr>
        <w:pStyle w:val="BodyText"/>
        <w:rPr>
          <w:sz w:val="20"/>
        </w:rPr>
      </w:pPr>
    </w:p>
    <w:p>
      <w:pPr>
        <w:pStyle w:val="BodyText"/>
        <w:rPr>
          <w:sz w:val="20"/>
        </w:rPr>
      </w:pPr>
    </w:p>
    <w:p>
      <w:pPr>
        <w:pStyle w:val="BodyText"/>
        <w:rPr>
          <w:sz w:val="20"/>
        </w:rPr>
      </w:pPr>
    </w:p>
    <w:p>
      <w:pPr>
        <w:pStyle w:val="BodyText"/>
        <w:spacing w:before="142"/>
        <w:rPr>
          <w:sz w:val="20"/>
        </w:rPr>
      </w:pPr>
      <w:r>
        <w:rPr>
          <w:sz w:val="20"/>
        </w:rPr>
        <mc:AlternateContent>
          <mc:Choice Requires="wps">
            <w:drawing>
              <wp:anchor distT="0" distB="0" distL="0" distR="0" allowOverlap="1" layoutInCell="1" locked="0" behindDoc="1" simplePos="0" relativeHeight="487587840">
                <wp:simplePos x="0" y="0"/>
                <wp:positionH relativeFrom="page">
                  <wp:posOffset>3429000</wp:posOffset>
                </wp:positionH>
                <wp:positionV relativeFrom="paragraph">
                  <wp:posOffset>251736</wp:posOffset>
                </wp:positionV>
                <wp:extent cx="2743200" cy="762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2743200" cy="7620"/>
                        </a:xfrm>
                        <a:custGeom>
                          <a:avLst/>
                          <a:gdLst/>
                          <a:ahLst/>
                          <a:cxnLst/>
                          <a:rect l="l" t="t" r="r" b="b"/>
                          <a:pathLst>
                            <a:path w="2743200" h="7620">
                              <a:moveTo>
                                <a:pt x="2743200" y="0"/>
                              </a:moveTo>
                              <a:lnTo>
                                <a:pt x="0" y="0"/>
                              </a:lnTo>
                              <a:lnTo>
                                <a:pt x="0" y="7619"/>
                              </a:lnTo>
                              <a:lnTo>
                                <a:pt x="2743200" y="7619"/>
                              </a:lnTo>
                              <a:lnTo>
                                <a:pt x="2743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70pt;margin-top:19.821777pt;width:216pt;height:.599980pt;mso-position-horizontal-relative:page;mso-position-vertical-relative:paragraph;z-index:-15728640;mso-wrap-distance-left:0;mso-wrap-distance-right:0" id="docshape2" filled="true" fillcolor="#000000" stroked="false">
                <v:fill type="solid"/>
                <w10:wrap type="topAndBottom"/>
              </v:rect>
            </w:pict>
          </mc:Fallback>
        </mc:AlternateContent>
      </w:r>
    </w:p>
    <w:p>
      <w:pPr>
        <w:spacing w:before="0"/>
        <w:ind w:left="5280" w:right="0" w:firstLine="0"/>
        <w:jc w:val="left"/>
        <w:rPr>
          <w:sz w:val="24"/>
        </w:rPr>
      </w:pPr>
      <w:r>
        <w:rPr>
          <w:sz w:val="24"/>
        </w:rPr>
        <w:t>AUTHORIZED</w:t>
      </w:r>
      <w:r>
        <w:rPr>
          <w:spacing w:val="-10"/>
          <w:sz w:val="24"/>
        </w:rPr>
        <w:t> </w:t>
      </w:r>
      <w:r>
        <w:rPr>
          <w:spacing w:val="-2"/>
          <w:sz w:val="24"/>
        </w:rPr>
        <w:t>REPRESENTATIVE</w:t>
      </w:r>
    </w:p>
    <w:sectPr>
      <w:pgSz w:w="12240" w:h="15840"/>
      <w:pgMar w:header="0" w:footer="1217" w:top="960" w:bottom="1400" w:left="72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56608">
              <wp:simplePos x="0" y="0"/>
              <wp:positionH relativeFrom="page">
                <wp:posOffset>673100</wp:posOffset>
              </wp:positionH>
              <wp:positionV relativeFrom="page">
                <wp:posOffset>9145606</wp:posOffset>
              </wp:positionV>
              <wp:extent cx="817244"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817244" cy="194310"/>
                      </a:xfrm>
                      <a:prstGeom prst="rect">
                        <a:avLst/>
                      </a:prstGeom>
                    </wps:spPr>
                    <wps:txbx>
                      <w:txbxContent>
                        <w:p>
                          <w:pPr>
                            <w:pStyle w:val="BodyText"/>
                            <w:spacing w:before="10"/>
                            <w:ind w:left="20"/>
                          </w:pPr>
                          <w:r>
                            <w:rPr/>
                            <w:t>52144 </w:t>
                          </w:r>
                          <w:r>
                            <w:rPr>
                              <w:spacing w:val="-2"/>
                            </w:rPr>
                            <w:t>(5/13)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3pt;margin-top:720.126526pt;width:64.3500pt;height:15.3pt;mso-position-horizontal-relative:page;mso-position-vertical-relative:page;z-index:-15759872" type="#_x0000_t202" id="docshape1" filled="false" stroked="false">
              <v:textbox inset="0,0,0,0">
                <w:txbxContent>
                  <w:p>
                    <w:pPr>
                      <w:pStyle w:val="BodyText"/>
                      <w:spacing w:before="10"/>
                      <w:ind w:left="20"/>
                    </w:pPr>
                    <w:r>
                      <w:rPr/>
                      <w:t>52144 </w:t>
                    </w:r>
                    <w:r>
                      <w:rPr>
                        <w:spacing w:val="-2"/>
                      </w:rPr>
                      <w:t>(5/13)</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lowerLetter"/>
      <w:lvlText w:val="%1."/>
      <w:lvlJc w:val="left"/>
      <w:pPr>
        <w:ind w:left="1799" w:hanging="72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2664" w:hanging="720"/>
      </w:pPr>
      <w:rPr>
        <w:rFonts w:hint="default"/>
        <w:lang w:val="en-US" w:eastAsia="en-US" w:bidi="ar-SA"/>
      </w:rPr>
    </w:lvl>
    <w:lvl w:ilvl="2">
      <w:start w:val="0"/>
      <w:numFmt w:val="bullet"/>
      <w:lvlText w:val="•"/>
      <w:lvlJc w:val="left"/>
      <w:pPr>
        <w:ind w:left="3528" w:hanging="720"/>
      </w:pPr>
      <w:rPr>
        <w:rFonts w:hint="default"/>
        <w:lang w:val="en-US" w:eastAsia="en-US" w:bidi="ar-SA"/>
      </w:rPr>
    </w:lvl>
    <w:lvl w:ilvl="3">
      <w:start w:val="0"/>
      <w:numFmt w:val="bullet"/>
      <w:lvlText w:val="•"/>
      <w:lvlJc w:val="left"/>
      <w:pPr>
        <w:ind w:left="4392" w:hanging="720"/>
      </w:pPr>
      <w:rPr>
        <w:rFonts w:hint="default"/>
        <w:lang w:val="en-US" w:eastAsia="en-US" w:bidi="ar-SA"/>
      </w:rPr>
    </w:lvl>
    <w:lvl w:ilvl="4">
      <w:start w:val="0"/>
      <w:numFmt w:val="bullet"/>
      <w:lvlText w:val="•"/>
      <w:lvlJc w:val="left"/>
      <w:pPr>
        <w:ind w:left="5256" w:hanging="720"/>
      </w:pPr>
      <w:rPr>
        <w:rFonts w:hint="default"/>
        <w:lang w:val="en-US" w:eastAsia="en-US" w:bidi="ar-SA"/>
      </w:rPr>
    </w:lvl>
    <w:lvl w:ilvl="5">
      <w:start w:val="0"/>
      <w:numFmt w:val="bullet"/>
      <w:lvlText w:val="•"/>
      <w:lvlJc w:val="left"/>
      <w:pPr>
        <w:ind w:left="6120" w:hanging="720"/>
      </w:pPr>
      <w:rPr>
        <w:rFonts w:hint="default"/>
        <w:lang w:val="en-US" w:eastAsia="en-US" w:bidi="ar-SA"/>
      </w:rPr>
    </w:lvl>
    <w:lvl w:ilvl="6">
      <w:start w:val="0"/>
      <w:numFmt w:val="bullet"/>
      <w:lvlText w:val="•"/>
      <w:lvlJc w:val="left"/>
      <w:pPr>
        <w:ind w:left="6984" w:hanging="720"/>
      </w:pPr>
      <w:rPr>
        <w:rFonts w:hint="default"/>
        <w:lang w:val="en-US" w:eastAsia="en-US" w:bidi="ar-SA"/>
      </w:rPr>
    </w:lvl>
    <w:lvl w:ilvl="7">
      <w:start w:val="0"/>
      <w:numFmt w:val="bullet"/>
      <w:lvlText w:val="•"/>
      <w:lvlJc w:val="left"/>
      <w:pPr>
        <w:ind w:left="7848" w:hanging="720"/>
      </w:pPr>
      <w:rPr>
        <w:rFonts w:hint="default"/>
        <w:lang w:val="en-US" w:eastAsia="en-US" w:bidi="ar-SA"/>
      </w:rPr>
    </w:lvl>
    <w:lvl w:ilvl="8">
      <w:start w:val="0"/>
      <w:numFmt w:val="bullet"/>
      <w:lvlText w:val="•"/>
      <w:lvlJc w:val="left"/>
      <w:pPr>
        <w:ind w:left="8712" w:hanging="72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Heading1" w:type="paragraph">
    <w:name w:val="Heading 1"/>
    <w:basedOn w:val="Normal"/>
    <w:uiPriority w:val="1"/>
    <w:qFormat/>
    <w:pPr>
      <w:ind w:left="359"/>
      <w:outlineLvl w:val="1"/>
    </w:pPr>
    <w:rPr>
      <w:rFonts w:ascii="Times New Roman" w:hAnsi="Times New Roman" w:eastAsia="Times New Roman" w:cs="Times New Roman"/>
      <w:sz w:val="24"/>
      <w:szCs w:val="24"/>
      <w:lang w:val="en-US" w:eastAsia="en-US" w:bidi="ar-SA"/>
    </w:rPr>
  </w:style>
  <w:style w:styleId="ListParagraph" w:type="paragraph">
    <w:name w:val="List Paragraph"/>
    <w:basedOn w:val="Normal"/>
    <w:uiPriority w:val="1"/>
    <w:qFormat/>
    <w:pPr>
      <w:spacing w:before="218"/>
      <w:ind w:left="1799" w:right="1077" w:hanging="720"/>
      <w:jc w:val="both"/>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Acarabal</dc:creator>
  <dc:title>Microsoft Word - KS-52144 _5-13__clean_.doc</dc:title>
  <dcterms:created xsi:type="dcterms:W3CDTF">2025-10-09T19:31:00Z</dcterms:created>
  <dcterms:modified xsi:type="dcterms:W3CDTF">2025-10-09T19:31:00Z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2013-09-24T00:00:00Z</vt:filetime>
  </property>
  <property fmtid="{D5CDD505-2E9C-101B-9397-08002B2CF9AE}" pid="3" name="Creator">
    <vt:lpwstr>PScript5.dll Version 5.2.2</vt:lpwstr>
  </property>
  <property fmtid="{D5CDD505-2E9C-101B-9397-08002B2CF9AE}" pid="4" name="LastSaved">
    <vt:filetime>2025-10-09T00:00:00Z</vt:filetime>
  </property>
  <property fmtid="{D5CDD505-2E9C-101B-9397-08002B2CF9AE}" pid="5" name="Producer">
    <vt:lpwstr>Acrobat Distiller 8.1.0 (Windows)</vt:lpwstr>
  </property>
</Properties>
</file>